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firstLine="0"/>
        <w:rPr>
          <w:w w:val="100"/>
          <w:sz w:val="28"/>
          <w:szCs w:val="28"/>
        </w:rPr>
      </w:pPr>
    </w:p>
    <w:p>
      <w:pPr>
        <w:keepNext/>
        <w:ind w:firstLine="0"/>
        <w:jc w:val="center"/>
        <w:outlineLvl w:val="0"/>
        <w:rPr>
          <w:szCs w:val="28"/>
        </w:rPr>
      </w:pPr>
      <w:r>
        <w:rPr>
          <w:b/>
          <w:szCs w:val="28"/>
        </w:rPr>
        <w:t>Сводная форма</w:t>
      </w:r>
      <w:r>
        <w:rPr>
          <w:b/>
          <w:szCs w:val="28"/>
        </w:rPr>
        <w:br w:type="textWrapping"/>
      </w:r>
      <w:r>
        <w:rPr>
          <w:szCs w:val="28"/>
        </w:rPr>
        <w:t>по оценке эффективности муниципальной программы</w:t>
      </w:r>
    </w:p>
    <w:p>
      <w:pPr>
        <w:widowControl w:val="0"/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«Развитие молодёжной политики в Мошковском районе на 2021-2025 г.г.»</w:t>
      </w:r>
    </w:p>
    <w:p>
      <w:pPr>
        <w:widowControl w:val="0"/>
        <w:autoSpaceDE w:val="0"/>
        <w:autoSpaceDN w:val="0"/>
        <w:adjustRightInd w:val="0"/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за 2021 год </w:t>
      </w:r>
    </w:p>
    <w:p>
      <w:pPr>
        <w:ind w:firstLine="720"/>
        <w:jc w:val="left"/>
        <w:rPr>
          <w:sz w:val="24"/>
          <w:szCs w:val="24"/>
        </w:rPr>
      </w:pPr>
    </w:p>
    <w:tbl>
      <w:tblPr>
        <w:tblStyle w:val="4"/>
        <w:tblW w:w="9498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28"/>
        <w:gridCol w:w="56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Численное значение интегральной оценки (R) за отчетный год, в %</w:t>
            </w:r>
          </w:p>
        </w:tc>
        <w:tc>
          <w:tcPr>
            <w:tcW w:w="5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Качественная характеристика</w:t>
            </w:r>
          </w:p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R</w:t>
            </w:r>
            <w:r>
              <w:rPr>
                <w:sz w:val="24"/>
                <w:szCs w:val="24"/>
              </w:rPr>
              <w:t>&gt;=0,8</w:t>
            </w:r>
          </w:p>
        </w:tc>
        <w:tc>
          <w:tcPr>
            <w:tcW w:w="5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эффективная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382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0,5 </w:t>
            </w:r>
            <w:r>
              <w:rPr>
                <w:sz w:val="24"/>
                <w:szCs w:val="24"/>
                <w:lang w:val="en-US"/>
              </w:rPr>
              <w:t>&lt;</w:t>
            </w:r>
            <w:r>
              <w:rPr>
                <w:sz w:val="24"/>
                <w:szCs w:val="24"/>
              </w:rPr>
              <w:t>=</w:t>
            </w:r>
            <w:r>
              <w:rPr>
                <w:sz w:val="24"/>
                <w:szCs w:val="24"/>
                <w:lang w:val="en-US"/>
              </w:rPr>
              <w:t>R&lt;</w:t>
            </w:r>
            <w:r>
              <w:rPr>
                <w:sz w:val="24"/>
                <w:szCs w:val="24"/>
              </w:rPr>
              <w:t>0,8</w:t>
            </w:r>
          </w:p>
        </w:tc>
        <w:tc>
          <w:tcPr>
            <w:tcW w:w="5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недостаточно эффективная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382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R</w:t>
            </w:r>
            <w:r>
              <w:rPr>
                <w:sz w:val="24"/>
                <w:szCs w:val="24"/>
              </w:rPr>
              <w:t>&lt;0,5</w:t>
            </w:r>
          </w:p>
        </w:tc>
        <w:tc>
          <w:tcPr>
            <w:tcW w:w="5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неэффективная</w:t>
            </w:r>
          </w:p>
        </w:tc>
      </w:tr>
    </w:tbl>
    <w:p>
      <w:pPr>
        <w:ind w:firstLine="720"/>
        <w:rPr>
          <w:szCs w:val="28"/>
        </w:rPr>
      </w:pPr>
    </w:p>
    <w:tbl>
      <w:tblPr>
        <w:tblStyle w:val="4"/>
        <w:tblW w:w="9952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7"/>
        <w:gridCol w:w="2126"/>
        <w:gridCol w:w="1871"/>
        <w:gridCol w:w="1985"/>
        <w:gridCol w:w="18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Численное значение интегральной оценки (R) за отчетный год, в %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Качественная характеристика</w:t>
            </w:r>
          </w:p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программы</w:t>
            </w:r>
          </w:p>
        </w:tc>
        <w:tc>
          <w:tcPr>
            <w:tcW w:w="18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Численное значение интегральной оценки(R0пр) за предшествующий год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Вывод о динамике эффективности реализации программы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Примечание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18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hint="default"/>
                <w:szCs w:val="28"/>
                <w:lang w:val="ru-RU"/>
              </w:rPr>
            </w:pPr>
            <w:r>
              <w:rPr>
                <w:rFonts w:hint="default"/>
                <w:szCs w:val="28"/>
                <w:lang w:val="ru-RU"/>
              </w:rPr>
              <w:t>516,64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szCs w:val="28"/>
              </w:rPr>
            </w:pPr>
          </w:p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эффективная</w:t>
            </w:r>
          </w:p>
        </w:tc>
        <w:tc>
          <w:tcPr>
            <w:tcW w:w="18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28"/>
            </w:pPr>
            <w:r>
              <w:t>-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rPr>
                <w:szCs w:val="28"/>
                <w:highlight w:val="yellow"/>
              </w:rPr>
            </w:pPr>
            <w:r>
              <w:rPr>
                <w:szCs w:val="28"/>
              </w:rPr>
              <w:t>программа действует первый год</w:t>
            </w:r>
          </w:p>
        </w:tc>
      </w:tr>
    </w:tbl>
    <w:p>
      <w:pPr>
        <w:ind w:firstLine="720"/>
        <w:rPr>
          <w:szCs w:val="28"/>
        </w:rPr>
      </w:pPr>
    </w:p>
    <w:p>
      <w:pPr>
        <w:keepNext/>
        <w:jc w:val="center"/>
        <w:outlineLvl w:val="0"/>
        <w:rPr>
          <w:b/>
          <w:w w:val="90"/>
          <w:sz w:val="24"/>
          <w:szCs w:val="24"/>
        </w:rPr>
      </w:pPr>
    </w:p>
    <w:p>
      <w:pPr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>Расчет интегральной оценки R</w:t>
      </w:r>
    </w:p>
    <w:p>
      <w:pPr>
        <w:ind w:left="709" w:firstLine="0"/>
        <w:jc w:val="center"/>
        <w:rPr>
          <w:sz w:val="24"/>
          <w:szCs w:val="24"/>
        </w:rPr>
      </w:pPr>
    </w:p>
    <w:p>
      <w:pPr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R = Iср/Vфин, где</w:t>
      </w:r>
    </w:p>
    <w:p>
      <w:pPr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Iср - интегральная оценка результативности реализации программы;</w:t>
      </w:r>
    </w:p>
    <w:p>
      <w:pPr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Vфин - уровень финансового обеспечения программы.</w:t>
      </w:r>
    </w:p>
    <w:p>
      <w:pPr>
        <w:ind w:firstLine="0"/>
        <w:jc w:val="left"/>
        <w:rPr>
          <w:sz w:val="24"/>
          <w:szCs w:val="24"/>
        </w:rPr>
      </w:pPr>
    </w:p>
    <w:p>
      <w:pPr>
        <w:ind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R = </w:t>
      </w:r>
      <w:r>
        <w:rPr>
          <w:rFonts w:hint="default"/>
          <w:b/>
          <w:sz w:val="24"/>
          <w:szCs w:val="24"/>
          <w:lang w:val="ru-RU"/>
        </w:rPr>
        <w:t>516,64</w:t>
      </w:r>
      <w:r>
        <w:rPr>
          <w:b/>
          <w:sz w:val="24"/>
          <w:szCs w:val="24"/>
        </w:rPr>
        <w:t>%: 100%=</w:t>
      </w:r>
      <w:r>
        <w:rPr>
          <w:rFonts w:hint="default"/>
          <w:b/>
          <w:sz w:val="24"/>
          <w:szCs w:val="24"/>
          <w:lang w:val="ru-RU"/>
        </w:rPr>
        <w:t>5,2</w:t>
      </w:r>
      <w:r>
        <w:rPr>
          <w:b/>
          <w:sz w:val="24"/>
          <w:szCs w:val="24"/>
        </w:rPr>
        <w:t xml:space="preserve">% в процентах </w:t>
      </w:r>
      <w:r>
        <w:rPr>
          <w:rFonts w:hint="default"/>
          <w:b/>
          <w:sz w:val="24"/>
          <w:szCs w:val="24"/>
          <w:lang w:val="ru-RU"/>
        </w:rPr>
        <w:t>5,2</w:t>
      </w:r>
      <w:r>
        <w:rPr>
          <w:b/>
          <w:sz w:val="24"/>
          <w:szCs w:val="24"/>
        </w:rPr>
        <w:t>х100%=5</w:t>
      </w:r>
      <w:r>
        <w:rPr>
          <w:rFonts w:hint="default"/>
          <w:b/>
          <w:sz w:val="24"/>
          <w:szCs w:val="24"/>
          <w:lang w:val="ru-RU"/>
        </w:rPr>
        <w:t>20</w:t>
      </w:r>
      <w:r>
        <w:rPr>
          <w:b/>
          <w:sz w:val="24"/>
          <w:szCs w:val="24"/>
        </w:rPr>
        <w:t>% (</w:t>
      </w:r>
      <w:r>
        <w:rPr>
          <w:b/>
          <w:sz w:val="24"/>
          <w:szCs w:val="24"/>
          <w:lang w:val="ru-RU"/>
        </w:rPr>
        <w:t>более</w:t>
      </w:r>
      <w:r>
        <w:rPr>
          <w:b/>
          <w:sz w:val="24"/>
          <w:szCs w:val="24"/>
        </w:rPr>
        <w:t xml:space="preserve"> 0,8) программа  эффективная</w:t>
      </w:r>
    </w:p>
    <w:p>
      <w:pPr>
        <w:ind w:firstLine="0"/>
        <w:jc w:val="left"/>
        <w:rPr>
          <w:sz w:val="24"/>
          <w:szCs w:val="24"/>
        </w:rPr>
      </w:pPr>
    </w:p>
    <w:p>
      <w:pPr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Интегральная оценка результативности реализации программы определяется в процентах и рассчитывается по формуле:</w:t>
      </w:r>
    </w:p>
    <w:tbl>
      <w:tblPr>
        <w:tblStyle w:val="4"/>
        <w:tblW w:w="0" w:type="auto"/>
        <w:tblInd w:w="208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65"/>
        <w:gridCol w:w="805"/>
        <w:gridCol w:w="764"/>
        <w:gridCol w:w="8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65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</w:tc>
        <w:tc>
          <w:tcPr>
            <w:tcW w:w="805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Iср =</w:t>
            </w:r>
          </w:p>
        </w:tc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j=n</w:t>
            </w:r>
          </w:p>
        </w:tc>
        <w:tc>
          <w:tcPr>
            <w:tcW w:w="878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, где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65" w:type="dxa"/>
            <w:vMerge w:val="continue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</w:tc>
        <w:tc>
          <w:tcPr>
            <w:tcW w:w="805" w:type="dxa"/>
            <w:vMerge w:val="continue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</w:tc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drawing>
                <wp:inline distT="0" distB="0" distL="0" distR="0">
                  <wp:extent cx="288925" cy="22669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8925" cy="2266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8" w:type="dxa"/>
            <w:vMerge w:val="continue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65" w:type="dxa"/>
            <w:vMerge w:val="continue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</w:tc>
        <w:tc>
          <w:tcPr>
            <w:tcW w:w="805" w:type="dxa"/>
            <w:vMerge w:val="continue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</w:tc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j=1</w:t>
            </w:r>
          </w:p>
        </w:tc>
        <w:tc>
          <w:tcPr>
            <w:tcW w:w="878" w:type="dxa"/>
            <w:vMerge w:val="continue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</w:tc>
      </w:tr>
    </w:tbl>
    <w:p>
      <w:pPr>
        <w:ind w:firstLine="720"/>
        <w:jc w:val="left"/>
        <w:rPr>
          <w:sz w:val="24"/>
          <w:szCs w:val="24"/>
        </w:rPr>
      </w:pPr>
      <w:r>
        <w:rPr>
          <w:sz w:val="24"/>
          <w:szCs w:val="24"/>
        </w:rPr>
        <w:t>ij - показатель оценки выполнения j-го целевого индикатора;</w:t>
      </w:r>
    </w:p>
    <w:p>
      <w:pPr>
        <w:ind w:firstLine="720"/>
        <w:jc w:val="left"/>
        <w:rPr>
          <w:sz w:val="24"/>
          <w:szCs w:val="24"/>
        </w:rPr>
      </w:pPr>
      <w:r>
        <w:rPr>
          <w:sz w:val="24"/>
          <w:szCs w:val="24"/>
        </w:rPr>
        <w:t>n - количество целевых индикаторов программы.</w:t>
      </w:r>
    </w:p>
    <w:p>
      <w:pPr>
        <w:ind w:firstLine="72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Iср = 100% (таблица 1)</w:t>
      </w:r>
    </w:p>
    <w:p>
      <w:pPr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Показатель оценки выполнения целевого индикатора определяется в процентах и рассчитывается по формуле:  ij = Ij х kj, где</w:t>
      </w:r>
    </w:p>
    <w:p>
      <w:pPr>
        <w:ind w:firstLine="720"/>
        <w:jc w:val="left"/>
        <w:rPr>
          <w:sz w:val="24"/>
          <w:szCs w:val="24"/>
        </w:rPr>
      </w:pPr>
      <w:r>
        <w:rPr>
          <w:sz w:val="24"/>
          <w:szCs w:val="24"/>
        </w:rPr>
        <w:t>Ij - индекс результативности целевого индикатора за отчетный период;</w:t>
      </w:r>
    </w:p>
    <w:p>
      <w:pPr>
        <w:ind w:firstLine="720"/>
        <w:jc w:val="left"/>
        <w:rPr>
          <w:sz w:val="24"/>
          <w:szCs w:val="24"/>
        </w:rPr>
      </w:pPr>
      <w:r>
        <w:rPr>
          <w:sz w:val="24"/>
          <w:szCs w:val="24"/>
        </w:rPr>
        <w:t>kj - весовой коэффициент, присвоенный целевому индикатору.</w:t>
      </w:r>
    </w:p>
    <w:p>
      <w:pPr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Индекс результативности целевого индикатора за отчетный период определяется в процентах и рассчитывается по формуле:</w:t>
      </w:r>
    </w:p>
    <w:p>
      <w:pPr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Ij = Ifj - Ibj   /  Ipj - Ibj   х 100%, где </w:t>
      </w:r>
    </w:p>
    <w:p>
      <w:pPr>
        <w:ind w:firstLine="720"/>
        <w:jc w:val="left"/>
        <w:rPr>
          <w:sz w:val="24"/>
          <w:szCs w:val="24"/>
        </w:rPr>
      </w:pPr>
      <w:r>
        <w:rPr>
          <w:sz w:val="24"/>
          <w:szCs w:val="24"/>
        </w:rPr>
        <w:t>Ifj - фактическое значение целевого индикатора за отчетный период;</w:t>
      </w:r>
    </w:p>
    <w:p>
      <w:pPr>
        <w:ind w:firstLine="720"/>
        <w:jc w:val="left"/>
        <w:rPr>
          <w:sz w:val="24"/>
          <w:szCs w:val="24"/>
        </w:rPr>
      </w:pPr>
      <w:r>
        <w:rPr>
          <w:sz w:val="24"/>
          <w:szCs w:val="24"/>
        </w:rPr>
        <w:t>Ibj - базовое значение целевого индикатора - фактическое значение целевого индикатора программы на начало отчетного периода (или значение целевого индикатора программы в случае, если программа не была бы реализована в отчетном периоде);</w:t>
      </w:r>
    </w:p>
    <w:p>
      <w:pPr>
        <w:ind w:firstLine="72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Ipj - плановое значение целевого индикатора на отчетный период. </w:t>
      </w:r>
    </w:p>
    <w:p>
      <w:pPr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Уровень финансового обеспечения программы за отчетный период (Vфин) определяется в процентах и рассчитывается по формуле:</w:t>
      </w:r>
    </w:p>
    <w:p>
      <w:pPr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      Vфин =  Vf  / Vp х 100%, где     </w:t>
      </w:r>
    </w:p>
    <w:p>
      <w:pPr>
        <w:ind w:firstLine="720"/>
        <w:jc w:val="left"/>
        <w:rPr>
          <w:sz w:val="24"/>
          <w:szCs w:val="24"/>
        </w:rPr>
      </w:pPr>
      <w:r>
        <w:rPr>
          <w:sz w:val="24"/>
          <w:szCs w:val="24"/>
        </w:rPr>
        <w:t>Vf - фактические затраты, направленные на реализацию программы в отчетном периоде с учетом всех источников финансирования;</w:t>
      </w:r>
    </w:p>
    <w:p>
      <w:pPr>
        <w:ind w:firstLine="720"/>
        <w:jc w:val="left"/>
        <w:rPr>
          <w:sz w:val="24"/>
          <w:szCs w:val="24"/>
        </w:rPr>
      </w:pPr>
      <w:r>
        <w:rPr>
          <w:sz w:val="24"/>
          <w:szCs w:val="24"/>
        </w:rPr>
        <w:t>Vp - запланированный объем финансирования программы за счет всех источников финансирования.</w:t>
      </w:r>
    </w:p>
    <w:p>
      <w:pPr>
        <w:ind w:firstLine="0"/>
        <w:jc w:val="left"/>
        <w:rPr>
          <w:b/>
          <w:sz w:val="24"/>
          <w:szCs w:val="24"/>
        </w:rPr>
      </w:pPr>
    </w:p>
    <w:p>
      <w:pPr>
        <w:ind w:firstLine="0"/>
        <w:jc w:val="left"/>
        <w:rPr>
          <w:b/>
          <w:sz w:val="24"/>
          <w:szCs w:val="24"/>
        </w:rPr>
      </w:pPr>
    </w:p>
    <w:p>
      <w:pPr>
        <w:ind w:firstLine="0"/>
        <w:jc w:val="left"/>
        <w:rPr>
          <w:szCs w:val="28"/>
        </w:rPr>
      </w:pPr>
      <w:r>
        <w:rPr>
          <w:b/>
          <w:sz w:val="24"/>
          <w:szCs w:val="24"/>
        </w:rPr>
        <w:t>Vфин =</w:t>
      </w:r>
      <w:r>
        <w:rPr>
          <w:rFonts w:hint="default"/>
          <w:b/>
          <w:sz w:val="24"/>
          <w:szCs w:val="24"/>
          <w:lang w:val="ru-RU"/>
        </w:rPr>
        <w:t>12</w:t>
      </w:r>
      <w:r>
        <w:rPr>
          <w:b/>
          <w:sz w:val="24"/>
          <w:szCs w:val="24"/>
        </w:rPr>
        <w:t xml:space="preserve"> т.р./</w:t>
      </w:r>
      <w:r>
        <w:rPr>
          <w:rFonts w:hint="default"/>
          <w:b/>
          <w:sz w:val="24"/>
          <w:szCs w:val="24"/>
          <w:lang w:val="ru-RU"/>
        </w:rPr>
        <w:t>12</w:t>
      </w:r>
      <w:r>
        <w:rPr>
          <w:b/>
          <w:sz w:val="24"/>
          <w:szCs w:val="24"/>
        </w:rPr>
        <w:t>т.р. х 100% = 100%</w:t>
      </w:r>
    </w:p>
    <w:p>
      <w:pPr>
        <w:ind w:firstLine="720"/>
        <w:jc w:val="left"/>
        <w:rPr>
          <w:sz w:val="24"/>
          <w:szCs w:val="24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jc w:val="left"/>
        <w:rPr>
          <w:sz w:val="22"/>
          <w:szCs w:val="22"/>
        </w:rPr>
      </w:pPr>
      <w:r>
        <w:rPr>
          <w:sz w:val="22"/>
          <w:szCs w:val="22"/>
        </w:rPr>
        <w:t>Исполнитель:</w:t>
      </w:r>
    </w:p>
    <w:p>
      <w:pPr>
        <w:jc w:val="left"/>
        <w:rPr>
          <w:sz w:val="22"/>
          <w:szCs w:val="22"/>
        </w:rPr>
      </w:pPr>
      <w:r>
        <w:rPr>
          <w:sz w:val="22"/>
          <w:szCs w:val="22"/>
        </w:rPr>
        <w:t>Заместитель директора</w:t>
      </w:r>
    </w:p>
    <w:p>
      <w:pPr>
        <w:jc w:val="left"/>
        <w:rPr>
          <w:sz w:val="22"/>
          <w:szCs w:val="22"/>
        </w:rPr>
      </w:pPr>
      <w:r>
        <w:rPr>
          <w:sz w:val="22"/>
          <w:szCs w:val="22"/>
        </w:rPr>
        <w:t>А.В. Головина, 60-058</w:t>
      </w:r>
    </w:p>
    <w:p>
      <w:pPr>
        <w:ind w:firstLine="0"/>
        <w:rPr>
          <w:b/>
          <w:sz w:val="22"/>
          <w:szCs w:val="22"/>
        </w:rPr>
      </w:pPr>
    </w:p>
    <w:p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>
      <w:pPr>
        <w:widowControl w:val="0"/>
        <w:autoSpaceDE w:val="0"/>
        <w:autoSpaceDN w:val="0"/>
        <w:adjustRightInd w:val="0"/>
        <w:ind w:firstLine="0"/>
        <w:jc w:val="center"/>
        <w:rPr>
          <w:szCs w:val="28"/>
        </w:rPr>
      </w:pPr>
      <w:r>
        <w:rPr>
          <w:szCs w:val="28"/>
        </w:rPr>
        <w:t>Сводная форма</w:t>
      </w:r>
    </w:p>
    <w:p>
      <w:pPr>
        <w:widowControl w:val="0"/>
        <w:autoSpaceDE w:val="0"/>
        <w:autoSpaceDN w:val="0"/>
        <w:adjustRightInd w:val="0"/>
        <w:ind w:firstLine="0"/>
        <w:jc w:val="center"/>
        <w:rPr>
          <w:szCs w:val="28"/>
        </w:rPr>
      </w:pPr>
      <w:r>
        <w:rPr>
          <w:szCs w:val="28"/>
        </w:rPr>
        <w:t>по оценке эффективности муниципальной программы</w:t>
      </w:r>
    </w:p>
    <w:p>
      <w:pPr>
        <w:widowControl w:val="0"/>
        <w:autoSpaceDE w:val="0"/>
        <w:autoSpaceDN w:val="0"/>
        <w:adjustRightInd w:val="0"/>
        <w:ind w:firstLine="0"/>
        <w:jc w:val="center"/>
        <w:rPr>
          <w:rFonts w:ascii="Arial" w:hAnsi="Arial" w:cs="Arial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«Развитие молодёжной политики в Мошковском районе на 2021-2025 г.г.»</w:t>
      </w:r>
    </w:p>
    <w:p>
      <w:pPr>
        <w:widowControl w:val="0"/>
        <w:autoSpaceDE w:val="0"/>
        <w:autoSpaceDN w:val="0"/>
        <w:adjustRightInd w:val="0"/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за 2021 год </w:t>
      </w:r>
    </w:p>
    <w:p>
      <w:pPr>
        <w:ind w:firstLine="0"/>
        <w:jc w:val="center"/>
        <w:rPr>
          <w:szCs w:val="28"/>
        </w:rPr>
      </w:pPr>
    </w:p>
    <w:tbl>
      <w:tblPr>
        <w:tblStyle w:val="4"/>
        <w:tblW w:w="0" w:type="auto"/>
        <w:tblInd w:w="-14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22"/>
        <w:gridCol w:w="1875"/>
        <w:gridCol w:w="2399"/>
        <w:gridCol w:w="1855"/>
        <w:gridCol w:w="15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22" w:type="dxa"/>
            <w:shd w:val="clear" w:color="auto" w:fill="auto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Численное значение интегральной оценки (R) за отчетный год, в %</w:t>
            </w:r>
          </w:p>
        </w:tc>
        <w:tc>
          <w:tcPr>
            <w:tcW w:w="1875" w:type="dxa"/>
            <w:shd w:val="clear" w:color="auto" w:fill="auto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Качественная характеристика программы</w:t>
            </w:r>
          </w:p>
        </w:tc>
        <w:tc>
          <w:tcPr>
            <w:tcW w:w="2399" w:type="dxa"/>
            <w:shd w:val="clear" w:color="auto" w:fill="auto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Численное значение интегральной оценки (R</w:t>
            </w:r>
            <w:r>
              <w:rPr>
                <w:sz w:val="24"/>
                <w:szCs w:val="24"/>
                <w:vertAlign w:val="subscript"/>
              </w:rPr>
              <w:t>0пр</w:t>
            </w:r>
            <w:r>
              <w:rPr>
                <w:sz w:val="24"/>
                <w:szCs w:val="24"/>
              </w:rPr>
              <w:t>) за предшествующий год</w:t>
            </w:r>
          </w:p>
        </w:tc>
        <w:tc>
          <w:tcPr>
            <w:tcW w:w="1855" w:type="dxa"/>
            <w:shd w:val="clear" w:color="auto" w:fill="auto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Вывод о динамике эффективности реализации программы</w:t>
            </w:r>
          </w:p>
        </w:tc>
        <w:tc>
          <w:tcPr>
            <w:tcW w:w="1540" w:type="dxa"/>
            <w:shd w:val="clear" w:color="auto" w:fill="auto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Примечание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22" w:type="dxa"/>
            <w:shd w:val="clear" w:color="auto" w:fill="auto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875" w:type="dxa"/>
            <w:shd w:val="clear" w:color="auto" w:fill="auto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399" w:type="dxa"/>
            <w:shd w:val="clear" w:color="auto" w:fill="auto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855" w:type="dxa"/>
            <w:shd w:val="clear" w:color="auto" w:fill="auto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540" w:type="dxa"/>
            <w:shd w:val="clear" w:color="auto" w:fill="auto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22" w:type="dxa"/>
            <w:shd w:val="clear" w:color="auto" w:fill="auto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hint="default"/>
                <w:szCs w:val="28"/>
                <w:lang w:val="ru-RU"/>
              </w:rPr>
            </w:pPr>
            <w:r>
              <w:rPr>
                <w:rFonts w:hint="default"/>
                <w:szCs w:val="28"/>
                <w:lang w:val="ru-RU"/>
              </w:rPr>
              <w:t>516,64</w:t>
            </w:r>
          </w:p>
        </w:tc>
        <w:tc>
          <w:tcPr>
            <w:tcW w:w="1875" w:type="dxa"/>
            <w:shd w:val="clear" w:color="auto" w:fill="auto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bookmarkStart w:id="0" w:name="_GoBack"/>
            <w:bookmarkEnd w:id="0"/>
            <w:r>
              <w:rPr>
                <w:szCs w:val="28"/>
              </w:rPr>
              <w:t xml:space="preserve"> эффективная</w:t>
            </w:r>
          </w:p>
        </w:tc>
        <w:tc>
          <w:tcPr>
            <w:tcW w:w="2399" w:type="dxa"/>
            <w:shd w:val="clear" w:color="auto" w:fill="auto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1855" w:type="dxa"/>
            <w:shd w:val="clear" w:color="auto" w:fill="auto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1540" w:type="dxa"/>
            <w:shd w:val="clear" w:color="auto" w:fill="auto"/>
          </w:tcPr>
          <w:p>
            <w:pPr>
              <w:widowControl w:val="0"/>
              <w:autoSpaceDE w:val="0"/>
              <w:autoSpaceDN w:val="0"/>
              <w:adjustRightInd w:val="0"/>
              <w:ind w:firstLine="0"/>
              <w:rPr>
                <w:szCs w:val="28"/>
              </w:rPr>
            </w:pPr>
            <w:r>
              <w:rPr>
                <w:szCs w:val="28"/>
              </w:rPr>
              <w:t>программа действует первый год</w:t>
            </w:r>
          </w:p>
        </w:tc>
      </w:tr>
    </w:tbl>
    <w:p>
      <w:pPr>
        <w:ind w:firstLine="0"/>
        <w:jc w:val="left"/>
        <w:rPr>
          <w:sz w:val="24"/>
          <w:szCs w:val="24"/>
        </w:rPr>
      </w:pPr>
    </w:p>
    <w:p>
      <w:pPr>
        <w:ind w:firstLine="0"/>
        <w:jc w:val="left"/>
        <w:rPr>
          <w:sz w:val="24"/>
          <w:szCs w:val="24"/>
        </w:rPr>
      </w:pPr>
    </w:p>
    <w:p>
      <w:pPr>
        <w:ind w:firstLine="0"/>
        <w:jc w:val="left"/>
        <w:rPr>
          <w:sz w:val="24"/>
          <w:szCs w:val="24"/>
        </w:rPr>
      </w:pPr>
    </w:p>
    <w:p>
      <w:pPr>
        <w:tabs>
          <w:tab w:val="left" w:pos="3030"/>
        </w:tabs>
        <w:ind w:firstLine="0"/>
        <w:jc w:val="left"/>
        <w:rPr>
          <w:sz w:val="24"/>
          <w:szCs w:val="24"/>
        </w:rPr>
      </w:pPr>
    </w:p>
    <w:p>
      <w:pPr>
        <w:tabs>
          <w:tab w:val="left" w:pos="3030"/>
        </w:tabs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ab/>
      </w:r>
    </w:p>
    <w:tbl>
      <w:tblPr>
        <w:tblStyle w:val="6"/>
        <w:tblW w:w="9781" w:type="dxa"/>
        <w:tblInd w:w="-14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11"/>
        <w:gridCol w:w="1985"/>
        <w:gridCol w:w="368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4111" w:type="dxa"/>
          </w:tcPr>
          <w:p>
            <w:pPr>
              <w:pBdr>
                <w:bottom w:val="single" w:color="auto" w:sz="12" w:space="1"/>
              </w:pBdr>
              <w:ind w:firstLine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Директор МКУ Управление культуры и молодежной политики Мошковского района</w:t>
            </w:r>
          </w:p>
          <w:p>
            <w:pPr>
              <w:ind w:firstLine="0"/>
              <w:jc w:val="center"/>
              <w:rPr>
                <w:i/>
                <w:sz w:val="20"/>
                <w:lang w:eastAsia="en-US"/>
              </w:rPr>
            </w:pPr>
            <w:r>
              <w:rPr>
                <w:i/>
                <w:sz w:val="20"/>
                <w:lang w:eastAsia="en-US"/>
              </w:rPr>
              <w:t>(наименование должности руководителя муниципальной программы)</w:t>
            </w:r>
          </w:p>
        </w:tc>
        <w:tc>
          <w:tcPr>
            <w:tcW w:w="1985" w:type="dxa"/>
          </w:tcPr>
          <w:p>
            <w:pPr>
              <w:pBdr>
                <w:bottom w:val="single" w:color="auto" w:sz="12" w:space="1"/>
              </w:pBdr>
              <w:ind w:firstLine="0"/>
              <w:jc w:val="left"/>
              <w:rPr>
                <w:sz w:val="24"/>
                <w:szCs w:val="24"/>
                <w:lang w:eastAsia="en-US"/>
              </w:rPr>
            </w:pPr>
          </w:p>
          <w:p>
            <w:pPr>
              <w:pBdr>
                <w:bottom w:val="single" w:color="auto" w:sz="12" w:space="1"/>
              </w:pBdr>
              <w:ind w:firstLine="0"/>
              <w:jc w:val="left"/>
              <w:rPr>
                <w:sz w:val="24"/>
                <w:szCs w:val="24"/>
                <w:lang w:eastAsia="en-US"/>
              </w:rPr>
            </w:pPr>
          </w:p>
          <w:p>
            <w:pPr>
              <w:pBdr>
                <w:bottom w:val="single" w:color="auto" w:sz="12" w:space="1"/>
              </w:pBdr>
              <w:ind w:firstLine="0"/>
              <w:jc w:val="left"/>
              <w:rPr>
                <w:sz w:val="24"/>
                <w:szCs w:val="24"/>
                <w:lang w:eastAsia="en-US"/>
              </w:rPr>
            </w:pPr>
          </w:p>
          <w:p>
            <w:pPr>
              <w:ind w:firstLine="0"/>
              <w:jc w:val="center"/>
              <w:rPr>
                <w:i/>
                <w:sz w:val="20"/>
                <w:lang w:eastAsia="en-US"/>
              </w:rPr>
            </w:pPr>
            <w:r>
              <w:rPr>
                <w:i/>
                <w:sz w:val="20"/>
                <w:lang w:eastAsia="en-US"/>
              </w:rPr>
              <w:t>(подпись)</w:t>
            </w:r>
          </w:p>
        </w:tc>
        <w:tc>
          <w:tcPr>
            <w:tcW w:w="3685" w:type="dxa"/>
          </w:tcPr>
          <w:p>
            <w:pPr>
              <w:ind w:firstLine="0"/>
              <w:jc w:val="center"/>
              <w:rPr>
                <w:i/>
                <w:sz w:val="20"/>
                <w:lang w:eastAsia="en-US"/>
              </w:rPr>
            </w:pPr>
          </w:p>
          <w:p>
            <w:pPr>
              <w:ind w:firstLine="0"/>
              <w:jc w:val="center"/>
              <w:rPr>
                <w:i/>
                <w:sz w:val="20"/>
                <w:lang w:eastAsia="en-US"/>
              </w:rPr>
            </w:pPr>
          </w:p>
          <w:p>
            <w:pPr>
              <w:ind w:firstLine="0"/>
              <w:rPr>
                <w:szCs w:val="28"/>
                <w:u w:val="single"/>
                <w:lang w:eastAsia="en-US"/>
              </w:rPr>
            </w:pPr>
            <w:r>
              <w:rPr>
                <w:szCs w:val="28"/>
                <w:u w:val="single"/>
                <w:lang w:eastAsia="en-US"/>
              </w:rPr>
              <w:t>Гришина Л.Н.</w:t>
            </w:r>
          </w:p>
          <w:p>
            <w:pPr>
              <w:ind w:firstLine="0"/>
              <w:rPr>
                <w:i/>
                <w:sz w:val="20"/>
                <w:lang w:eastAsia="en-US"/>
              </w:rPr>
            </w:pPr>
            <w:r>
              <w:rPr>
                <w:i/>
                <w:sz w:val="20"/>
                <w:lang w:eastAsia="en-US"/>
              </w:rPr>
              <w:t xml:space="preserve"> (расшифровка подпись, ФИО)</w:t>
            </w:r>
          </w:p>
        </w:tc>
      </w:tr>
    </w:tbl>
    <w:p>
      <w:pPr>
        <w:spacing w:after="160" w:line="259" w:lineRule="auto"/>
        <w:ind w:firstLine="0"/>
        <w:jc w:val="left"/>
        <w:rPr>
          <w:rFonts w:ascii="Calibri" w:hAnsi="Calibri" w:eastAsia="Calibri"/>
          <w:sz w:val="22"/>
          <w:szCs w:val="22"/>
          <w:lang w:eastAsia="en-US"/>
        </w:rPr>
      </w:pPr>
    </w:p>
    <w:p>
      <w:pPr>
        <w:pStyle w:val="2"/>
        <w:ind w:firstLine="0"/>
        <w:rPr>
          <w:w w:val="100"/>
          <w:sz w:val="28"/>
          <w:szCs w:val="28"/>
        </w:rPr>
      </w:pPr>
    </w:p>
    <w:p>
      <w:pPr>
        <w:pStyle w:val="2"/>
        <w:ind w:firstLine="0"/>
        <w:rPr>
          <w:w w:val="100"/>
          <w:sz w:val="28"/>
          <w:szCs w:val="28"/>
        </w:rPr>
      </w:pPr>
    </w:p>
    <w:p/>
    <w:p/>
    <w:p/>
    <w:p/>
    <w:p/>
    <w:p/>
    <w:p/>
    <w:p/>
    <w:p/>
    <w:p/>
    <w:p/>
    <w:p/>
    <w:p>
      <w:pPr>
        <w:jc w:val="left"/>
        <w:rPr>
          <w:sz w:val="22"/>
          <w:szCs w:val="22"/>
        </w:rPr>
      </w:pPr>
      <w:r>
        <w:rPr>
          <w:sz w:val="22"/>
          <w:szCs w:val="22"/>
        </w:rPr>
        <w:t>Исполнитель:</w:t>
      </w:r>
    </w:p>
    <w:p>
      <w:pPr>
        <w:jc w:val="left"/>
        <w:rPr>
          <w:sz w:val="22"/>
          <w:szCs w:val="22"/>
        </w:rPr>
      </w:pPr>
      <w:r>
        <w:rPr>
          <w:sz w:val="22"/>
          <w:szCs w:val="22"/>
        </w:rPr>
        <w:t>Заместитель директора</w:t>
      </w:r>
    </w:p>
    <w:p>
      <w:pPr>
        <w:jc w:val="left"/>
        <w:rPr>
          <w:sz w:val="22"/>
          <w:szCs w:val="22"/>
        </w:rPr>
      </w:pPr>
      <w:r>
        <w:rPr>
          <w:sz w:val="22"/>
          <w:szCs w:val="22"/>
        </w:rPr>
        <w:t>А.В. Головина, 60-058</w:t>
      </w:r>
    </w:p>
    <w:p>
      <w:pPr>
        <w:ind w:firstLine="0"/>
        <w:rPr>
          <w:b/>
          <w:szCs w:val="28"/>
        </w:rPr>
      </w:pP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compat>
    <w:compatSetting w:name="compatibilityMode" w:uri="http://schemas.microsoft.com/office/word" w:val="12"/>
  </w:compat>
  <w:rsids>
    <w:rsidRoot w:val="008370F6"/>
    <w:rsid w:val="0001529A"/>
    <w:rsid w:val="000379A6"/>
    <w:rsid w:val="00093036"/>
    <w:rsid w:val="00095682"/>
    <w:rsid w:val="000D65E6"/>
    <w:rsid w:val="00194FBB"/>
    <w:rsid w:val="001B5EFA"/>
    <w:rsid w:val="001E424F"/>
    <w:rsid w:val="002252ED"/>
    <w:rsid w:val="00250A9A"/>
    <w:rsid w:val="0025287A"/>
    <w:rsid w:val="002755E3"/>
    <w:rsid w:val="0028648B"/>
    <w:rsid w:val="002D0A42"/>
    <w:rsid w:val="00365106"/>
    <w:rsid w:val="00377BE6"/>
    <w:rsid w:val="00380219"/>
    <w:rsid w:val="003C2B78"/>
    <w:rsid w:val="003E0BC2"/>
    <w:rsid w:val="003E1B95"/>
    <w:rsid w:val="004E0C70"/>
    <w:rsid w:val="004E7388"/>
    <w:rsid w:val="004E7FBE"/>
    <w:rsid w:val="0050134F"/>
    <w:rsid w:val="005730BE"/>
    <w:rsid w:val="00580E36"/>
    <w:rsid w:val="005924B1"/>
    <w:rsid w:val="005D41FD"/>
    <w:rsid w:val="005E376D"/>
    <w:rsid w:val="005E5B35"/>
    <w:rsid w:val="00642B80"/>
    <w:rsid w:val="006621C1"/>
    <w:rsid w:val="00666127"/>
    <w:rsid w:val="006B7ACB"/>
    <w:rsid w:val="006D2B29"/>
    <w:rsid w:val="006D2C5F"/>
    <w:rsid w:val="006E0E74"/>
    <w:rsid w:val="006F2147"/>
    <w:rsid w:val="006F4084"/>
    <w:rsid w:val="006F580E"/>
    <w:rsid w:val="00700156"/>
    <w:rsid w:val="00700FB9"/>
    <w:rsid w:val="0072112D"/>
    <w:rsid w:val="00727061"/>
    <w:rsid w:val="00771366"/>
    <w:rsid w:val="007940AA"/>
    <w:rsid w:val="007D35D1"/>
    <w:rsid w:val="007F0AA0"/>
    <w:rsid w:val="00804242"/>
    <w:rsid w:val="0081400F"/>
    <w:rsid w:val="008370F6"/>
    <w:rsid w:val="008E7CCF"/>
    <w:rsid w:val="008F0F31"/>
    <w:rsid w:val="0093187D"/>
    <w:rsid w:val="0099380D"/>
    <w:rsid w:val="00A30955"/>
    <w:rsid w:val="00A44C69"/>
    <w:rsid w:val="00A9546B"/>
    <w:rsid w:val="00AA52B5"/>
    <w:rsid w:val="00B25379"/>
    <w:rsid w:val="00C04740"/>
    <w:rsid w:val="00C24B56"/>
    <w:rsid w:val="00C44E7B"/>
    <w:rsid w:val="00CA6B89"/>
    <w:rsid w:val="00CB33AA"/>
    <w:rsid w:val="00CC4742"/>
    <w:rsid w:val="00D05D69"/>
    <w:rsid w:val="00D53757"/>
    <w:rsid w:val="00D75D11"/>
    <w:rsid w:val="00D90A21"/>
    <w:rsid w:val="00DA35B4"/>
    <w:rsid w:val="00DA6675"/>
    <w:rsid w:val="00E30D5C"/>
    <w:rsid w:val="00E42F78"/>
    <w:rsid w:val="00E74753"/>
    <w:rsid w:val="00E7788C"/>
    <w:rsid w:val="00E8311B"/>
    <w:rsid w:val="00EB150A"/>
    <w:rsid w:val="00EC2DB5"/>
    <w:rsid w:val="00EF65F0"/>
    <w:rsid w:val="00F52B6B"/>
    <w:rsid w:val="337322A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ind w:firstLine="709"/>
      <w:jc w:val="both"/>
    </w:pPr>
    <w:rPr>
      <w:rFonts w:ascii="Times New Roman" w:hAnsi="Times New Roman" w:eastAsia="Times New Roman" w:cs="Times New Roman"/>
      <w:sz w:val="28"/>
      <w:szCs w:val="20"/>
      <w:lang w:val="ru-RU" w:eastAsia="ru-RU" w:bidi="ar-SA"/>
    </w:rPr>
  </w:style>
  <w:style w:type="paragraph" w:styleId="2">
    <w:name w:val="heading 1"/>
    <w:basedOn w:val="1"/>
    <w:next w:val="1"/>
    <w:link w:val="7"/>
    <w:qFormat/>
    <w:uiPriority w:val="99"/>
    <w:pPr>
      <w:keepNext/>
      <w:jc w:val="center"/>
      <w:outlineLvl w:val="0"/>
    </w:pPr>
    <w:rPr>
      <w:b/>
      <w:w w:val="90"/>
      <w:sz w:val="52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alloon Text"/>
    <w:basedOn w:val="1"/>
    <w:link w:val="9"/>
    <w:semiHidden/>
    <w:unhideWhenUsed/>
    <w:uiPriority w:val="99"/>
    <w:rPr>
      <w:rFonts w:ascii="Tahoma" w:hAnsi="Tahoma" w:cs="Tahoma"/>
      <w:sz w:val="16"/>
      <w:szCs w:val="16"/>
    </w:rPr>
  </w:style>
  <w:style w:type="table" w:styleId="6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Заголовок 1 Знак"/>
    <w:basedOn w:val="3"/>
    <w:link w:val="2"/>
    <w:uiPriority w:val="99"/>
    <w:rPr>
      <w:rFonts w:ascii="Times New Roman" w:hAnsi="Times New Roman" w:eastAsia="Times New Roman" w:cs="Times New Roman"/>
      <w:b/>
      <w:w w:val="90"/>
      <w:sz w:val="52"/>
      <w:szCs w:val="20"/>
      <w:lang w:eastAsia="ru-RU"/>
    </w:rPr>
  </w:style>
  <w:style w:type="paragraph" w:customStyle="1" w:styleId="8">
    <w:name w:val="Нормальный (таблица)"/>
    <w:basedOn w:val="1"/>
    <w:next w:val="1"/>
    <w:qFormat/>
    <w:uiPriority w:val="99"/>
    <w:pPr>
      <w:widowControl w:val="0"/>
      <w:autoSpaceDE w:val="0"/>
      <w:autoSpaceDN w:val="0"/>
      <w:adjustRightInd w:val="0"/>
      <w:ind w:firstLine="0"/>
    </w:pPr>
    <w:rPr>
      <w:rFonts w:ascii="Arial" w:hAnsi="Arial" w:cs="Arial"/>
      <w:sz w:val="24"/>
      <w:szCs w:val="24"/>
    </w:rPr>
  </w:style>
  <w:style w:type="character" w:customStyle="1" w:styleId="9">
    <w:name w:val="Текст выноски Знак"/>
    <w:basedOn w:val="3"/>
    <w:link w:val="5"/>
    <w:semiHidden/>
    <w:uiPriority w:val="99"/>
    <w:rPr>
      <w:rFonts w:ascii="Tahoma" w:hAnsi="Tahoma" w:eastAsia="Times New Roman" w:cs="Tahoma"/>
      <w:sz w:val="16"/>
      <w:szCs w:val="16"/>
      <w:lang w:eastAsia="ru-RU"/>
    </w:rPr>
  </w:style>
  <w:style w:type="paragraph" w:customStyle="1" w:styleId="10">
    <w:name w:val="ConsPlusNormal"/>
    <w:qFormat/>
    <w:uiPriority w:val="0"/>
    <w:pPr>
      <w:widowControl w:val="0"/>
      <w:autoSpaceDE w:val="0"/>
      <w:autoSpaceDN w:val="0"/>
      <w:adjustRightInd w:val="0"/>
    </w:pPr>
    <w:rPr>
      <w:rFonts w:ascii="Arial" w:hAnsi="Arial" w:eastAsia="Times New Roman" w:cs="Arial"/>
      <w:sz w:val="20"/>
      <w:szCs w:val="20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emf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480</Words>
  <Characters>2742</Characters>
  <Lines>22</Lines>
  <Paragraphs>6</Paragraphs>
  <TotalTime>1</TotalTime>
  <ScaleCrop>false</ScaleCrop>
  <LinksUpToDate>false</LinksUpToDate>
  <CharactersWithSpaces>3216</CharactersWithSpaces>
  <Application>WPS Office_11.2.0.11042_F1E327BC-269C-435d-A152-05C5408002CA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2015-03-25T09:53:00Z</dcterms:created>
  <dc:creator>Предприниматель</dc:creator>
  <cp:lastModifiedBy>Тимур Гордеев Щекатурин</cp:lastModifiedBy>
  <cp:lastPrinted>2019-03-19T04:10:00Z</cp:lastPrinted>
  <dcterms:modified xsi:type="dcterms:W3CDTF">2022-03-31T09:38:03Z</dcterms:modified>
  <cp:revision>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1049-11.2.0.11042</vt:lpwstr>
  </property>
  <property fmtid="{D5CDD505-2E9C-101B-9397-08002B2CF9AE}" pid="3" name="ICV">
    <vt:lpwstr>A72ED2B0977244B4A0F24C930CB60627</vt:lpwstr>
  </property>
</Properties>
</file>