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tbl>
      <w:tblPr>
        <w:tblStyle w:val="style154"/>
        <w:tblpPr w:leftFromText="180" w:rightFromText="180" w:topFromText="0" w:bottomFromText="0" w:vertAnchor="text" w:horzAnchor="margin" w:tblpXSpec="left" w:tblpY="-907"/>
        <w:tblW w:w="102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15"/>
      </w:tblGrid>
      <w:tr>
        <w:trPr>
          <w:trHeight w:val="1090" w:hRule="atLeast"/>
        </w:trPr>
        <w:tc>
          <w:tcPr>
            <w:tcW w:w="10215" w:type="dxa"/>
            <w:tcBorders/>
          </w:tcPr>
          <w:p>
            <w:pPr>
              <w:pStyle w:val="style157"/>
              <w:rPr>
                <w:rFonts w:ascii="Times New Roman" w:cs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>УТВЕРЖДАЮ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>»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 xml:space="preserve">   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 xml:space="preserve">                                                               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 xml:space="preserve">                    </w:t>
            </w:r>
            <w:bookmarkStart w:id="0" w:name="_GoBack"/>
            <w:bookmarkEnd w:id="0"/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>«СОГЛАСОВАНО</w:t>
            </w:r>
            <w:r>
              <w:rPr>
                <w:rFonts w:ascii="Times New Roman" w:cs="Times New Roman" w:hAnsi="Times New Roman"/>
                <w:b/>
                <w:sz w:val="24"/>
                <w:szCs w:val="24"/>
              </w:rPr>
              <w:t>»</w:t>
            </w:r>
          </w:p>
          <w:p>
            <w:pPr>
              <w:pStyle w:val="style157"/>
              <w:jc w:val="both"/>
              <w:rPr>
                <w:rFonts w:ascii="Times New Roman" w:cs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b/>
                <w:sz w:val="28"/>
                <w:szCs w:val="28"/>
              </w:rPr>
              <w:t xml:space="preserve">_________________                                          </w:t>
            </w:r>
            <w:r>
              <w:rPr>
                <w:rFonts w:ascii="Times New Roman" w:cs="Times New Roman" w:hAnsi="Times New Roman"/>
                <w:b/>
                <w:sz w:val="28"/>
                <w:szCs w:val="28"/>
              </w:rPr>
              <w:t xml:space="preserve">                            </w:t>
            </w:r>
            <w:r>
              <w:rPr>
                <w:rFonts w:ascii="Times New Roman" w:cs="Times New Roman" w:hAnsi="Times New Roman"/>
                <w:b/>
                <w:sz w:val="28"/>
                <w:szCs w:val="28"/>
              </w:rPr>
              <w:t xml:space="preserve"> ______________</w:t>
            </w:r>
          </w:p>
          <w:p>
            <w:pPr>
              <w:pStyle w:val="style157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b/>
                <w:sz w:val="28"/>
                <w:szCs w:val="28"/>
              </w:rPr>
              <w:t xml:space="preserve">«___» _______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20</w:t>
            </w:r>
            <w:r>
              <w:rPr>
                <w:rFonts w:cs="Times New Roman" w:hAnsi="Times New Roman"/>
                <w:sz w:val="28"/>
                <w:szCs w:val="28"/>
                <w:lang w:val="en-US"/>
              </w:rPr>
              <w:t>20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                                      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«___»_______20</w:t>
            </w:r>
            <w:r>
              <w:rPr>
                <w:rFonts w:cs="Times New Roman" w:hAnsi="Times New Roman"/>
                <w:sz w:val="28"/>
                <w:szCs w:val="28"/>
                <w:lang w:val="en-US"/>
              </w:rPr>
              <w:t>20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cs="Times New Roman" w:hAnsi="Times New Roman"/>
                <w:sz w:val="28"/>
                <w:szCs w:val="28"/>
                <w:lang w:val="en-US"/>
              </w:rPr>
              <w:t>Заведующий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РДК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                         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</w:t>
            </w:r>
            <w:r>
              <w:rPr>
                <w:rFonts w:cs="Times New Roman" w:hAnsi="Times New Roman"/>
                <w:sz w:val="28"/>
                <w:szCs w:val="28"/>
                <w:lang w:val="en-US"/>
              </w:rPr>
              <w:t>Директор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МКУ и </w:t>
            </w:r>
            <w:r>
              <w:rPr>
                <w:rFonts w:cs="Times New Roman" w:hAnsi="Times New Roman"/>
                <w:sz w:val="28"/>
                <w:szCs w:val="28"/>
                <w:lang w:val="en-US"/>
              </w:rPr>
              <w:t>МП</w:t>
            </w:r>
          </w:p>
          <w:p>
            <w:pPr>
              <w:pStyle w:val="style0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Панибог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В.Н.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                                                   Управление культуры</w:t>
            </w:r>
            <w:r>
              <w:rPr>
                <w:rFonts w:cs="Times New Roman" w:hAnsi="Times New Roman"/>
                <w:sz w:val="28"/>
                <w:szCs w:val="28"/>
                <w:lang w:val="en-US"/>
              </w:rPr>
              <w:t xml:space="preserve"> и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</w:p>
          <w:p>
            <w:pPr>
              <w:pStyle w:val="style0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Молодёжной политики</w:t>
            </w:r>
          </w:p>
          <w:p>
            <w:pPr>
              <w:pStyle w:val="style0"/>
              <w:rPr>
                <w:rFonts w:ascii="Times New Roman" w:cs="Times New Roman" w:hAnsi="Times New Roman"/>
                <w:b/>
                <w:i/>
                <w:sz w:val="36"/>
                <w:szCs w:val="36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Иванов М.Д                                                           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                                         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</w:t>
            </w:r>
          </w:p>
        </w:tc>
      </w:tr>
    </w:tbl>
    <w:p>
      <w:pPr>
        <w:pStyle w:val="style157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  </w:t>
      </w:r>
      <w:r>
        <w:rPr>
          <w:rFonts w:ascii="Times New Roman" w:cs="Times New Roman" w:hAnsi="Times New Roman"/>
          <w:b/>
          <w:sz w:val="28"/>
          <w:szCs w:val="28"/>
        </w:rPr>
        <w:t xml:space="preserve">                                                                                      </w:t>
      </w:r>
    </w:p>
    <w:p>
      <w:pPr>
        <w:pStyle w:val="style0"/>
        <w:spacing w:lineRule="auto" w:line="240"/>
        <w:jc w:val="right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/>
        <w:fldChar w:fldCharType="begin"/>
      </w:r>
      <w:r>
        <w:instrText xml:space="preserve"> HYPERLINK "https://xn----gtbemkpb3brp9h.xn--p1ai/pologeniya_clubs/" </w:instrText>
      </w:r>
      <w:r>
        <w:rPr/>
        <w:fldChar w:fldCharType="separate"/>
      </w:r>
      <w:r>
        <w:rPr>
          <w:rFonts w:ascii="Arial" w:cs="Arial" w:eastAsia="Times New Roman" w:hAnsi="Arial"/>
          <w:b/>
          <w:bCs/>
          <w:caps/>
          <w:color w:val="ffffff"/>
          <w:sz w:val="17"/>
          <w:szCs w:val="17"/>
          <w:lang w:eastAsia="ru-RU"/>
        </w:rPr>
        <w:t>ПОЛОЖЕНИЯ О КЛУБНЫХ ФОРМИРОВАНИЯХ</w:t>
      </w:r>
      <w:r>
        <w:rPr/>
        <w:fldChar w:fldCharType="end"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</w:p>
    <w:p>
      <w:pPr>
        <w:pStyle w:val="style0"/>
        <w:spacing w:after="0" w:lineRule="auto" w:line="240"/>
        <w:jc w:val="center"/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</w:pP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ПОЛОЖЕНИЕ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br/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О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КЛУБНОМ ФОРМИРОВАНИИ «ВОКАЛЬНЫЙ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АНСАМБЛЬ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«МАЛИНОВЫЙ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ЗВОН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»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br/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РДК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МКУ Управление культуры и молодёжной политики Мошковского района</w:t>
      </w:r>
    </w:p>
    <w:p>
      <w:pPr>
        <w:pStyle w:val="style0"/>
        <w:spacing w:after="0" w:lineRule="auto" w:line="240"/>
        <w:jc w:val="center"/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</w:pPr>
    </w:p>
    <w:p>
      <w:pPr>
        <w:pStyle w:val="style0"/>
        <w:spacing w:after="225" w:lineRule="atLeast" w:line="480"/>
        <w:outlineLvl w:val="0"/>
        <w:rPr>
          <w:rFonts w:ascii="Arial" w:cs="Arial" w:eastAsia="Times New Roman" w:hAnsi="Arial"/>
          <w:b/>
          <w:bCs/>
          <w:color w:val="3b3b3b"/>
          <w:spacing w:val="-8"/>
          <w:kern w:val="36"/>
          <w:sz w:val="42"/>
          <w:szCs w:val="42"/>
          <w:lang w:eastAsia="ru-RU"/>
        </w:rPr>
      </w:pP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7"/>
          <w:szCs w:val="27"/>
          <w:lang w:eastAsia="ru-RU"/>
        </w:rPr>
        <w:t xml:space="preserve">                                                 </w:t>
      </w: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7"/>
          <w:szCs w:val="27"/>
          <w:lang w:eastAsia="ru-RU"/>
        </w:rPr>
        <w:t>1. Общие положения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1.1. Настоящее Положение о клубном формировании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РДК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МКУ УК и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МП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(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далее - Положение) разработано на основании действующего законода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тельства Российской Федерации.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1.2. Настоящее Положение регулирует деят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ельность вокального ансамбля «МАЛИНОВЫЙ ЗВОН»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(далее – клубное формирование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).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1.3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. Под клубным формированием понимается добровольное объединение л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юбителей самодеятельного художественного творчества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, основанное на общности интересов и совместной учебно-творческой деятельности, способствующей развитию дарований его участников, освоению ими созданию культурных, нравственных, эстетических, иных духовных ценностей. Участие в коллективе осуществляется в свободное от работы время и представляет собой одну из активных форм отдыха.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1.4. Клубное формирование в рамках своей деятельности: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организует систематические занятия (репетиции, собрания, культурно-досуговые мероприятия);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участвует в мероприятиях, программах и акциях культурно-досугового учреждения: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использует другие формы творческой работы и участия в культурной и общественной жизни;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принимает участие в муниципальных, региональных, общероссийских и международных фестивалях, смотрах, конкурсах, выставках.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225" w:lineRule="atLeast" w:line="480"/>
        <w:outlineLvl w:val="0"/>
        <w:rPr>
          <w:rFonts w:ascii="Arial" w:cs="Arial" w:eastAsia="Times New Roman" w:hAnsi="Arial"/>
          <w:b/>
          <w:bCs/>
          <w:color w:val="3b3b3b"/>
          <w:spacing w:val="-8"/>
          <w:kern w:val="36"/>
          <w:sz w:val="42"/>
          <w:szCs w:val="42"/>
          <w:lang w:eastAsia="ru-RU"/>
        </w:rPr>
      </w:pP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7"/>
          <w:szCs w:val="27"/>
          <w:lang w:eastAsia="ru-RU"/>
        </w:rPr>
        <w:t xml:space="preserve">         </w:t>
      </w: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7"/>
          <w:szCs w:val="27"/>
          <w:lang w:eastAsia="ru-RU"/>
        </w:rPr>
        <w:t>2. Цели и задачи деятельности клубного формирования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2.1. К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лубное формирование создано для приобретения и развития певческих навыков,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повышения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общего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культурного уровня, реализации творческого поте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нциала участников коллектива.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2.2. Основные задачи клубного формирования: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предоставление возможностей для творческой реализации и личностного развития его участников;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-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пробуждение интереса к пению в ансамбле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,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следование лучшим традициям сложившимся в русском ансамблевом и хоровом пении;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формирование общей культуры;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организация содержательного досуга;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поддержка различных категорий и групп населения, желающих зан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иматься ансамблевым и хоровым пением;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 w:clear="all"/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      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3. Организация деятельности клубного формирования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3.1. Клубное формирование создается, реорганизуется и ликвидируется по решению руководителя учреждения.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3.2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Занятия в клубном формировании проводятся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не менее двух раз в неделю.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3.3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. Посещение занятий в клубном формировании является бесплатным.</w:t>
      </w:r>
    </w:p>
    <w:p>
      <w:pPr>
        <w:pStyle w:val="style0"/>
        <w:spacing w:after="225" w:lineRule="atLeast" w:line="480"/>
        <w:outlineLvl w:val="0"/>
        <w:rPr>
          <w:rFonts w:ascii="Arial" w:cs="Arial" w:eastAsia="Times New Roman" w:hAnsi="Arial"/>
          <w:b/>
          <w:bCs/>
          <w:color w:val="3b3b3b"/>
          <w:spacing w:val="-8"/>
          <w:kern w:val="36"/>
          <w:sz w:val="24"/>
          <w:szCs w:val="24"/>
          <w:lang w:eastAsia="ru-RU"/>
        </w:rPr>
      </w:pP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4"/>
          <w:szCs w:val="24"/>
          <w:lang w:eastAsia="ru-RU"/>
        </w:rPr>
        <w:t xml:space="preserve"> </w:t>
      </w: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4"/>
          <w:szCs w:val="24"/>
          <w:lang w:eastAsia="ru-RU"/>
        </w:rPr>
        <w:t xml:space="preserve">4. Руководство клубным формированием и контроль за его </w:t>
      </w: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4"/>
          <w:szCs w:val="24"/>
          <w:lang w:eastAsia="ru-RU"/>
        </w:rPr>
        <w:t xml:space="preserve">    </w:t>
      </w:r>
      <w:r>
        <w:rPr>
          <w:rFonts w:ascii="Arial" w:cs="Arial" w:eastAsia="Times New Roman" w:hAnsi="Arial"/>
          <w:b/>
          <w:bCs/>
          <w:color w:val="3b3b3b"/>
          <w:spacing w:val="-8"/>
          <w:kern w:val="36"/>
          <w:sz w:val="24"/>
          <w:szCs w:val="24"/>
          <w:lang w:eastAsia="ru-RU"/>
        </w:rPr>
        <w:t>деятельностью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4.1. Общее руководство и контроль за деятельностью клубного формирования осуществляет руководитель учреждения. Для обеспечения деятельности клубного формирования руководитель учреждения создает необходимые условия, утверждает планы работы.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4.1.2. Руководитель учреждения утверждает расписание занятий в соответствии с правилами внутреннего трудового распорядка.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4.2. Непосредственное руководство клубным формированием осуществляет руководитель клубного формирования.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4.3. Руководитель клубного формирования: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составляет годовой репертуарный план, который представляется руководителю учреждения на утверждение, согласно установленным срокам;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ведет в клубном формировании регулярную творческую и учебную работу на основе утвержденного плана;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ведет журнал учета посещаемости занятий, а также другую документацию, в соответствии с Уставом учреждения, Правилами внутреннего трудового распорядка, Договором с руководителем учреждения и Положением о клубном формировании;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разрабатывает расписание занятий клубного формирования;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формирует списки участников;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по согласованию с руководителем учреждения формирует план работы, при этом учитывает его актуальность, тематическую направленность;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готовит выступления клубного формирования, обеспечивает активное участие в городских, областных фестивалях, конкурсах, смотрах и культурно-массовых мероприятиях;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несет ответственность за состояние творческой работы и дисциплины клубного формирования.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4.4. Ответственность за содержание деятельности, финансовые результаты несет руководитель клубного формирования.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4.5. Руководитель клубного формирования обязан: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в полном объеме исполнять муниципальное задание, в соответствии с закрепленными в нем количественными и качественными показателями; план мероприятий «дорожную карту» по повышению эффективности сферы культуры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Новосибирской области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ежемесячно, не позднее 25 числа, в декабре – не позднее 15 числа предоставлять журнал учета посещаемости занятий для проверки специалисту по жанрам творчества;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своевременно оформлять всю необходимую документацию (расписание занятий, план работы, список участников, журнал учета посещаемости занятий);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обеспечить сохранность имущества учреждения;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соблюдать трудовую дисциплину.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 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5 . Материальная и финансовая база клубного формирования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5.1. Помещения для работы клубного формирования предоставляются руководителем учреждения, который обеспечивает их необходимым оборудованием, инвентарем и материалами в установленном порядке. При этом руководитель клубного формирования несет ответственность за сохранность предоставленных в его использование материальных ценностей, соблюдение установленного порядка и режима работы учреждением.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b/>
          <w:bCs/>
          <w:color w:val="5b5b5b"/>
          <w:sz w:val="24"/>
          <w:szCs w:val="24"/>
          <w:lang w:eastAsia="ru-RU"/>
        </w:rPr>
        <w:t xml:space="preserve">   </w:t>
      </w:r>
      <w:r>
        <w:rPr>
          <w:rFonts w:ascii="Arial" w:cs="Arial" w:eastAsia="Times New Roman" w:hAnsi="Arial"/>
          <w:b/>
          <w:bCs/>
          <w:color w:val="5b5b5b"/>
          <w:sz w:val="24"/>
          <w:szCs w:val="24"/>
          <w:lang w:eastAsia="ru-RU"/>
        </w:rPr>
        <w:t>6. Порядок приема и исключения участников клубного формирования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6.1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. Возраст участников коллектива от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30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ти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 и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выше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6.2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. В отдельных случаях, с учетом индивидуальных способностей поступающего в клубное формирование, в порядке исключения, допускаются отступления от установл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енных возрастных требований.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6.3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. Предельная численность участников фольклорного ко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ллектива не устанавливается.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6.4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. Набор в клубное формирование проводится в течение года.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7"/>
          <w:szCs w:val="27"/>
          <w:lang w:eastAsia="ru-RU"/>
        </w:rPr>
        <w:br/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                        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7. Порядок и форма обучения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7.1. Содержание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занятий предусматривает изучение истории русской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песенности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, её жанрового многообразия, приобретение и развитие певческих умений и навыков необходимых в сольном, ансамблевом и хоровом пении.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7.2. Продолжительность рабочего времени штатного руководителя устанавливается согласно требованиям Трудового кодекса. В рабочее время руководителя клубного формирования засчитывается работа по подбору участников клубного формирования, просветительская работа, подбор репертуара; работа по изучению и сбору фольклора; репетиционная работа; мероприятия по выпуску концертов, а именно составление монтажных листов со звуко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м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и свето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операторами, работа над сценографией, работа с режиссером; ведение документации клубного формирования, выпуск концертных номеров.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7.3. Занятия в клубном формировании проводятся систематически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два раза в неделю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не менее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з-х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учебных часов (учебный час - 45 минут), согласно расписанию занятий, утвержденному директором учреждения.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7.4. Результатом услуги является овладение участником клубного формирования минимумом знаний, ум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ений, навыков в области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вокального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ного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искусства, общественной жизни, организации досуга и отдыха, умение применять полученные знания и навыки в практической деятельности и повседневной жизни, умение использовать свои таланты, воображение, мышление, активность в повседневном социальном поведении, умение сочетать различные виды деятельности и применять их во вне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клубных мероприятиях, приобретение устойчивого интереса к различным видам искусств, овладение навыками участия в конкурсах, фестивалях, выставках, овладение навыками индивидуальной и коллективной творческой деятельности, развитие личностных качеств, необходимых для взаимодействия в клубном формировании (самодисциплины, выносливости, чувства товарищества), формирование гуманистического мировоззрения, гражданского сознания, чувства патриотизма, любви и уважения к литературе и ценностям отечественной культуры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pacing w:after="0" w:lineRule="auto" w:line="240"/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 xml:space="preserve">                        </w:t>
      </w:r>
      <w:r>
        <w:rPr>
          <w:rFonts w:ascii="Arial" w:cs="Arial" w:eastAsia="Times New Roman" w:hAnsi="Arial"/>
          <w:b/>
          <w:bCs/>
          <w:color w:val="5b5b5b"/>
          <w:sz w:val="27"/>
          <w:szCs w:val="27"/>
          <w:lang w:eastAsia="ru-RU"/>
        </w:rPr>
        <w:t>8. Права и обязанности участников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8.1. Участники клубного формирования обязаны: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сообщать руководителю клубного формирования об изменении контактного телефона и места жительства не позднее 7 (семи) дней с момента наступления таких изменений;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извещать руководителя клубного формирования о причине своей неявки на занятия;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проявлять уважение к руководителям, администрации и техническому персоналу учреждения;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возмещать ущерб, причиненный имуществу учреждения, в соответствии с законодательством Российской Федерации;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- посещать занятия согласно расписанию, 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 xml:space="preserve">- находясь в учреждении, снимать верхнюю одежду в гардеробе, 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не пропускать занятия и сценическую практику без уважительных причин;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бережно относиться к имуществу учреждения, к чужим вещам и собственности;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уважать честь и достоинство других участников и работников учреждения;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в случае участия в мероприятии приходить в учреждение за 1 час до его начала, при необходимости проведения репетиций - раньше;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самостоятельно готовить все необходимые принадлежности (костюмы, обувь, реквизит и др.) к предстоящему мероприятию;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до выхода на сцену и после выступления располагаться точно в отведенном руководителем клубного формирования, режиссером или должностным лицом месте;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сдавать полученные для выступления костюмы, реквизит и иные технические средства (микрофоны и пр.) после выступления руководителю клубного формирования;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соблюдать настоящее Положение.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8.2. Участникам запрещается: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приносить и использовать в учреждении и на его территории оружие, взрывчатые и огнеопасные вещества, горючие жидкости, пиротехнические изделия, газовые баллончики, спиртные напитки, наркотики, одурманивающие средства, а также ядовитые и токсичные вещества;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находиться на территории фойе, на улице в сценических костюмах и обуви;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заходить в зрительный зал без разрешения руководителя клубного формирования, если это не оговорено постановкой номера или режиссерским решением;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заходить в костюмерную во время отсутствия заведующего костюмерной или руководителя клубного формирования.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8.3. В учреждении категорически запрещено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открывать и входить в хозяйственные помещения учреждения, не предназначенные для нахождения там людей;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открывать электрические шкафы и окна;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использовать не в соответствии с их назначением декорации, тренировочные и игровые конструкции на территории учреждения;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употреблять непристойные выражения и жесты, шуметь;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курить, употреблять спиртные напитки и наркотические средства.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8.4. За нарушение настоящего Положения к участникам применяются меры дисциплинарного и воспитательного воздействия, вплоть до исключения из клубного формирования.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8.5. Действие настоящего Положения распространяются на все мероприятия, проводимые за пределами учреждения.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8.6. Настоящее Правила доводятся до сведения каждого участника путем размещения в общедоступном для обозрения месте.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8.7. Учреждение обязано: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8.7.1. Организовать и обеспечить надлежащее исполнение услуг. Услуги выполняются в соответствии с настоящим Положением и расписанием занятий, разрабатываемыми учреждением.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8.7.2. 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8.7.3. Во время оказания услуг по обучению проявлять уважение к личности участника клубного формирования,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участника клубного формирования с учётом его индивидуальных особенностей.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8.7.4. Не допускать на занятия посторонних лиц, кроме как на репетиции и в заранее оговоренных ситуаций.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8.7.5. Сохранить место за участником клубного формирования в случае его болезни, лечения, отпуска и в других случаях пропуска занятий по уважительным причинам.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8.8. Руководитель клубного формирования имеет право на: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свободу выбора и использование методик обучения и воспитания, учебных пособий, материалов, методов оценки знаний, умений обучающихся;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защиту своей профессиональной чести и достоинства.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8.9. Руководитель клубного формирования обязан: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уважать права и свободы человека;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br/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- обеспечить сохранность жизни и здоровья участника клубн</w:t>
      </w:r>
      <w:r>
        <w:rPr>
          <w:rFonts w:ascii="Arial" w:cs="Arial" w:eastAsia="Times New Roman" w:hAnsi="Arial"/>
          <w:color w:val="5b5b5b"/>
          <w:sz w:val="23"/>
          <w:szCs w:val="23"/>
          <w:lang w:eastAsia="ru-RU"/>
        </w:rPr>
        <w:t>ого формирования в ходе занятий</w:t>
      </w:r>
    </w:p>
    <w:p>
      <w:pPr>
        <w:pStyle w:val="style0"/>
        <w:spacing w:after="0" w:lineRule="auto" w:line="240"/>
        <w:rPr>
          <w:rFonts w:ascii="Arial" w:cs="Arial" w:eastAsia="Times New Roman" w:hAnsi="Arial"/>
          <w:color w:val="5b5b5b"/>
          <w:sz w:val="23"/>
          <w:szCs w:val="23"/>
          <w:lang w:eastAsia="ru-RU"/>
        </w:rPr>
      </w:pP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 xml:space="preserve">                      </w:t>
      </w: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>9</w:t>
      </w: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>. НО</w:t>
      </w: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>РМАТИВЫ ДЕЯТЕЛЬНОСТИ КОЛЛЕКТИВОВ</w:t>
      </w: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 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9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.1. Коллективы любительского художественного творчества в течение творческого сезона (с сентября по май) должны представить:</w:t>
      </w: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 </w:t>
      </w:r>
    </w:p>
    <w:tbl>
      <w:tblPr>
        <w:tblW w:w="10436" w:type="dxa"/>
        <w:tblCellSpacing w:w="0" w:type="dxa"/>
        <w:tblInd w:w="-83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7e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9"/>
        <w:gridCol w:w="6017"/>
      </w:tblGrid>
      <w:tr>
        <w:trPr>
          <w:tblCellSpacing w:w="0" w:type="dxa"/>
        </w:trPr>
        <w:tc>
          <w:tcPr>
            <w:tcW w:w="4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         Наименование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творческого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коллектива</w:t>
            </w:r>
          </w:p>
        </w:tc>
        <w:tc>
          <w:tcPr>
            <w:tcW w:w="6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    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Показатели результативности</w:t>
            </w:r>
          </w:p>
        </w:tc>
      </w:tr>
      <w:tr>
        <w:tblPrEx/>
        <w:trPr>
          <w:tblCellSpacing w:w="0" w:type="dxa"/>
        </w:trPr>
        <w:tc>
          <w:tcPr>
            <w:tcW w:w="4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   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вокальный  ансамбль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   «МАЛИНОВЫЙ ЗВОН»</w:t>
            </w:r>
          </w:p>
        </w:tc>
        <w:tc>
          <w:tcPr>
            <w:tcW w:w="6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- концертная программа в одном отделении (1 час 15 минут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),   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ежегодно обновляя не менее четвертой части текущего репертуара;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- 8-10 номеров для участия в концертах и представлениях базового учреждения культуры;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- выступление на других площадках не менее 1 раза в квартал;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-творческий отчет перед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населением 1 раз в год</w:t>
            </w:r>
          </w:p>
        </w:tc>
      </w:tr>
    </w:tbl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 </w:t>
      </w: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9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.2. Для вновь созданных коллективов в течение первых 2 лет существования могут быть установлены минимальные нормативы. В течение творческого сезона они должны представить:</w:t>
      </w:r>
    </w:p>
    <w:tbl>
      <w:tblPr>
        <w:tblW w:w="9018" w:type="dxa"/>
        <w:tblCellSpacing w:w="0" w:type="dxa"/>
        <w:tblInd w:w="58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7e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83"/>
        <w:gridCol w:w="5435"/>
      </w:tblGrid>
      <w:tr>
        <w:trPr>
          <w:tblCellSpacing w:w="0" w:type="dxa"/>
        </w:trPr>
        <w:tc>
          <w:tcPr>
            <w:tcW w:w="3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Наименование жанра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творческого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коллектива</w:t>
            </w:r>
          </w:p>
        </w:tc>
        <w:tc>
          <w:tcPr>
            <w:tcW w:w="5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   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Показатели результативности</w:t>
            </w:r>
          </w:p>
        </w:tc>
      </w:tr>
      <w:tr>
        <w:tblPrEx/>
        <w:trPr>
          <w:tblCellSpacing w:w="0" w:type="dxa"/>
        </w:trPr>
        <w:tc>
          <w:tcPr>
            <w:tcW w:w="3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 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вокальный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ансамбль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 «МАЛИНОВЫЙ ЗВОН»</w:t>
            </w:r>
          </w:p>
        </w:tc>
        <w:tc>
          <w:tcPr>
            <w:tcW w:w="5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             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- не менее 6 номеров</w:t>
            </w:r>
          </w:p>
        </w:tc>
      </w:tr>
    </w:tbl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 xml:space="preserve">                              </w:t>
      </w: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>10</w:t>
      </w:r>
      <w:r>
        <w:rPr>
          <w:rFonts w:ascii="Arial" w:cs="Arial" w:eastAsia="Times New Roman" w:hAnsi="Arial"/>
          <w:b/>
          <w:bCs/>
          <w:color w:val="333333"/>
          <w:sz w:val="24"/>
          <w:szCs w:val="24"/>
          <w:lang w:eastAsia="ru-RU"/>
        </w:rPr>
        <w:t>. НАПОЛНЯЕМОСТЬ КОЛЛЕКТИВА</w:t>
      </w: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 </w:t>
      </w:r>
    </w:p>
    <w:p>
      <w:pPr>
        <w:pStyle w:val="style0"/>
        <w:shd w:val="clear" w:color="auto" w:fill="fff7ec"/>
        <w:spacing w:before="150" w:after="225" w:lineRule="atLeast" w:line="243"/>
        <w:rPr>
          <w:rFonts w:ascii="Arial" w:cs="Arial" w:eastAsia="Times New Roman" w:hAnsi="Arial"/>
          <w:color w:val="333333"/>
          <w:sz w:val="24"/>
          <w:szCs w:val="24"/>
          <w:lang w:eastAsia="ru-RU"/>
        </w:rPr>
      </w:pP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 xml:space="preserve">Численность (наполняемость) 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вокального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 xml:space="preserve"> 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ансамбля «МАЛИНОВЫЙ ЗВОН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>»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 xml:space="preserve"> определяется руководителем</w:t>
      </w:r>
      <w:r>
        <w:rPr>
          <w:rFonts w:ascii="Arial" w:cs="Arial" w:hAnsi="Arial"/>
          <w:color w:val="333333"/>
        </w:rPr>
        <w:t xml:space="preserve"> </w:t>
      </w:r>
      <w:r>
        <w:rPr>
          <w:rFonts w:ascii="Arial" w:cs="Arial" w:hAnsi="Arial"/>
          <w:color w:val="333333"/>
        </w:rPr>
        <w:t>МКУ УК и МП</w:t>
      </w:r>
      <w:r>
        <w:rPr>
          <w:rFonts w:ascii="Arial" w:cs="Arial" w:eastAsia="Times New Roman" w:hAnsi="Arial"/>
          <w:color w:val="333333"/>
          <w:sz w:val="24"/>
          <w:szCs w:val="24"/>
          <w:lang w:eastAsia="ru-RU"/>
        </w:rPr>
        <w:t xml:space="preserve"> по согласованию с руководителем коллектива, с учётом следующих минимальных нормативов:</w:t>
      </w:r>
    </w:p>
    <w:tbl>
      <w:tblPr>
        <w:tblW w:w="993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7e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8"/>
        <w:gridCol w:w="6800"/>
      </w:tblGrid>
      <w:tr>
        <w:trPr>
          <w:tblCellSpacing w:w="0" w:type="dxa"/>
        </w:trPr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Наименование жанра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творческого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коллектива</w:t>
            </w:r>
          </w:p>
        </w:tc>
        <w:tc>
          <w:tcPr>
            <w:tcW w:w="6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                      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Для городских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 xml:space="preserve">                        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культурно</w:t>
            </w:r>
            <w:r>
              <w:rPr>
                <w:rFonts w:ascii="Arial" w:cs="Arial" w:eastAsia="Times New Roman" w:hAnsi="Arial"/>
                <w:b/>
                <w:bCs/>
                <w:color w:val="333333"/>
                <w:sz w:val="24"/>
                <w:szCs w:val="24"/>
                <w:lang w:eastAsia="ru-RU"/>
              </w:rPr>
              <w:t>-досуговых</w:t>
            </w:r>
          </w:p>
        </w:tc>
      </w:tr>
      <w:tr>
        <w:tblPrEx/>
        <w:trPr>
          <w:tblCellSpacing w:w="0" w:type="dxa"/>
        </w:trPr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вокальный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ансамбль</w:t>
            </w:r>
          </w:p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«МАЛИНОВЫЙ ЗВОН»</w:t>
            </w:r>
          </w:p>
        </w:tc>
        <w:tc>
          <w:tcPr>
            <w:tcW w:w="6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7ec"/>
            <w:hideMark/>
          </w:tcPr>
          <w:p>
            <w:pPr>
              <w:pStyle w:val="style0"/>
              <w:spacing w:before="150" w:after="225" w:lineRule="atLeast" w:line="243"/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                                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>не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eastAsia="ru-RU"/>
              </w:rPr>
              <w:t xml:space="preserve"> менее </w:t>
            </w:r>
            <w:r>
              <w:rPr>
                <w:rFonts w:ascii="Arial" w:cs="Arial" w:eastAsia="Times New Roman" w:hAnsi="Arial"/>
                <w:color w:val="333333"/>
                <w:sz w:val="24"/>
                <w:szCs w:val="24"/>
                <w:lang w:val="en-US" w:eastAsia="ru-RU"/>
              </w:rPr>
              <w:t>2</w:t>
            </w:r>
          </w:p>
        </w:tc>
      </w:tr>
    </w:tbl>
    <w:p>
      <w:pPr>
        <w:pStyle w:val="style0"/>
        <w:rPr/>
      </w:pPr>
    </w:p>
    <w:sectPr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004020304"/>
    <w:charset w:val="cc"/>
    <w:family w:val="roman"/>
    <w:pitch w:val="variable"/>
    <w:sig w:usb0="E0002AFF" w:usb1="C0007841" w:usb2="00000009" w:usb3="00000000" w:csb0="000001FF" w:csb1="00000000"/>
  </w:font>
  <w:font w:name="Segoe UI">
    <w:altName w:val="Segoe UI"/>
    <w:panose1 w:val="020b0502040002020203"/>
    <w:charset w:val="00"/>
    <w:family w:val="swiss"/>
    <w:pitch w:val="variable"/>
    <w:sig w:usb0="00000003" w:usb1="00000000" w:usb2="00000000" w:usb3="00000000" w:csb0="00000001" w:csb1="00000000"/>
  </w:font>
  <w:font w:name="Arial">
    <w:altName w:val="Arial"/>
    <w:panose1 w:val="020b06040200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 Light"/>
    <w:panose1 w:val="020f0302020002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ru-RU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paragraph" w:styleId="style1">
    <w:name w:val="heading 1"/>
    <w:basedOn w:val="style0"/>
    <w:next w:val="style1"/>
    <w:link w:val="style4097"/>
    <w:qFormat/>
    <w:uiPriority w:val="9"/>
    <w:pPr>
      <w:spacing w:before="100" w:beforeAutospacing="true" w:after="100" w:afterAutospacing="true" w:lineRule="auto" w:line="240"/>
      <w:outlineLvl w:val="0"/>
    </w:pPr>
    <w:rPr>
      <w:rFonts w:ascii="Times New Roman" w:cs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character" w:customStyle="1" w:styleId="style4097">
    <w:name w:val="Заголовок 1 Знак"/>
    <w:basedOn w:val="style65"/>
    <w:next w:val="style4097"/>
    <w:link w:val="style1"/>
    <w:uiPriority w:val="9"/>
    <w:rPr>
      <w:rFonts w:ascii="Times New Roman" w:cs="Times New Roman" w:eastAsia="Times New Roman" w:hAnsi="Times New Roman"/>
      <w:b/>
      <w:bCs/>
      <w:kern w:val="36"/>
      <w:sz w:val="48"/>
      <w:szCs w:val="48"/>
      <w:lang w:eastAsia="ru-RU"/>
    </w:rPr>
  </w:style>
  <w:style w:type="character" w:styleId="style85">
    <w:name w:val="Hyperlink"/>
    <w:basedOn w:val="style65"/>
    <w:next w:val="style85"/>
    <w:uiPriority w:val="99"/>
    <w:rPr>
      <w:color w:val="0000ff"/>
      <w:u w:val="single"/>
    </w:rPr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character" w:styleId="style88">
    <w:name w:val="Emphasis"/>
    <w:basedOn w:val="style65"/>
    <w:next w:val="style88"/>
    <w:qFormat/>
    <w:uiPriority w:val="20"/>
    <w:rPr>
      <w:i/>
      <w:iCs/>
    </w:rPr>
  </w:style>
  <w:style w:type="paragraph" w:styleId="style153">
    <w:name w:val="Balloon Text"/>
    <w:basedOn w:val="style0"/>
    <w:next w:val="style153"/>
    <w:link w:val="style4098"/>
    <w:uiPriority w:val="99"/>
    <w:pPr>
      <w:spacing w:after="0" w:lineRule="auto" w:line="240"/>
    </w:pPr>
    <w:rPr>
      <w:rFonts w:ascii="Segoe UI" w:cs="Segoe UI" w:hAnsi="Segoe UI"/>
      <w:sz w:val="18"/>
      <w:szCs w:val="18"/>
    </w:rPr>
  </w:style>
  <w:style w:type="character" w:customStyle="1" w:styleId="style4098">
    <w:name w:val="Текст выноски Знак"/>
    <w:basedOn w:val="style65"/>
    <w:next w:val="style4098"/>
    <w:link w:val="style153"/>
    <w:uiPriority w:val="99"/>
    <w:rPr>
      <w:rFonts w:ascii="Segoe UI" w:cs="Segoe UI" w:hAnsi="Segoe UI"/>
      <w:sz w:val="18"/>
      <w:szCs w:val="18"/>
    </w:rPr>
  </w:style>
  <w:style w:type="paragraph" w:styleId="style157">
    <w:name w:val="No Spacing"/>
    <w:next w:val="style157"/>
    <w:qFormat/>
    <w:uiPriority w:val="1"/>
    <w:pPr>
      <w:spacing w:after="0" w:lineRule="auto" w:line="240"/>
    </w:pPr>
    <w:rPr/>
  </w:style>
  <w:style w:type="table" w:styleId="style154">
    <w:name w:val="Table Grid"/>
    <w:basedOn w:val="style105"/>
    <w:next w:val="style154"/>
    <w:uiPriority w:val="59"/>
    <w:pPr>
      <w:spacing w:after="0" w:lineRule="auto" w:line="240"/>
    </w:pPr>
    <w:rPr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1585</Words>
  <Pages>6</Pages>
  <Characters>11589</Characters>
  <Application>WPS Office</Application>
  <DocSecurity>0</DocSecurity>
  <Paragraphs>75</Paragraphs>
  <ScaleCrop>false</ScaleCrop>
  <LinksUpToDate>false</LinksUpToDate>
  <CharactersWithSpaces>14308</CharactersWithSpaces>
  <SharedDoc>false</SharedDoc>
  <HyperlinksChanged>false</HyperlinksChanged>
  <AppVersion>15.000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2020-09-07T11:14:42Z</dcterms:created>
  <dc:creator>123</dc:creator>
  <lastModifiedBy>TA-1021</lastModifiedBy>
  <lastPrinted>2017-10-17T08:10:00Z</lastPrinted>
  <dcterms:modified xsi:type="dcterms:W3CDTF">2020-09-07T11:14:43Z</dcterms:modified>
  <revision>11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